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EE4942"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5CE2396F" w:rsidR="00060C29" w:rsidRPr="00D64E17" w:rsidRDefault="00EE4942" w:rsidP="0018335F">
            <w:pPr>
              <w:jc w:val="center"/>
              <w:rPr>
                <w:lang w:val="es-MX"/>
              </w:rPr>
            </w:pPr>
            <w:r>
              <w:rPr>
                <w:color w:val="000000" w:themeColor="text1"/>
                <w:lang w:val="es-MX"/>
              </w:rPr>
              <w:t>13-01-2026</w:t>
            </w:r>
          </w:p>
        </w:tc>
        <w:tc>
          <w:tcPr>
            <w:tcW w:w="8647" w:type="dxa"/>
            <w:vAlign w:val="center"/>
          </w:tcPr>
          <w:p w14:paraId="08EEF1A7" w14:textId="71EBF24E" w:rsidR="00060C29" w:rsidRPr="00D64E17" w:rsidRDefault="00EE4942" w:rsidP="003E51EA">
            <w:pPr>
              <w:pStyle w:val="Prrafodelista"/>
              <w:numPr>
                <w:ilvl w:val="0"/>
                <w:numId w:val="5"/>
              </w:numPr>
              <w:ind w:left="202" w:hanging="202"/>
              <w:rPr>
                <w:lang w:val="es-MX"/>
              </w:rPr>
            </w:pPr>
            <w:r w:rsidRPr="001B23D4">
              <w:rPr>
                <w:lang w:val="es-MX"/>
              </w:rPr>
              <w:t>Creación inicial del documento conforme a los lineamientos del sistema de administración</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EE4942"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EE4942" w:rsidRPr="00C7394E" w:rsidRDefault="00EE4942" w:rsidP="00EE4942">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3EB7AC2E" w:rsidR="00EE4942" w:rsidRPr="006C1404" w:rsidRDefault="00EE4942" w:rsidP="00EE4942">
            <w:pPr>
              <w:jc w:val="center"/>
              <w:rPr>
                <w:lang w:val="es-MX"/>
              </w:rPr>
            </w:pPr>
            <w:r>
              <w:rPr>
                <w:lang w:val="es-MX"/>
              </w:rPr>
              <w:t>Raúl Galindo</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0D9CBD4C" w:rsidR="00EE4942" w:rsidRPr="006C1404" w:rsidRDefault="00EE4942" w:rsidP="00EE4942">
            <w:pPr>
              <w:jc w:val="center"/>
              <w:rPr>
                <w:lang w:val="es-MX"/>
              </w:rPr>
            </w:pPr>
            <w:r>
              <w:rPr>
                <w:lang w:val="es-MX"/>
              </w:rPr>
              <w:t>Romina Barbosa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44935D4" w:rsidR="00EE4942" w:rsidRPr="006C1404" w:rsidRDefault="00EE4942" w:rsidP="00EE4942">
            <w:pPr>
              <w:jc w:val="center"/>
              <w:rPr>
                <w:lang w:val="es-MX"/>
              </w:rPr>
            </w:pPr>
            <w:r>
              <w:rPr>
                <w:lang w:val="es-MX"/>
              </w:rPr>
              <w:t>David Navarro</w:t>
            </w:r>
          </w:p>
        </w:tc>
      </w:tr>
      <w:tr w:rsidR="00EE4942"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EE4942" w:rsidRPr="00C7394E" w:rsidRDefault="00EE4942" w:rsidP="00EE4942">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03A2AA90" w:rsidR="00EE4942" w:rsidRDefault="00EE4942" w:rsidP="00EE4942">
            <w:pPr>
              <w:jc w:val="center"/>
              <w:rPr>
                <w:lang w:val="es-MX"/>
              </w:rPr>
            </w:pPr>
            <w:r w:rsidRPr="00CF085B">
              <w:rPr>
                <w:lang w:val="es-MX"/>
              </w:rPr>
              <w:t>Coordinador Mantenimiento de Cartera</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52BEDA72" w:rsidR="00EE4942" w:rsidRDefault="00EE4942" w:rsidP="00EE4942">
            <w:pPr>
              <w:jc w:val="center"/>
              <w:rPr>
                <w:lang w:val="es-MX"/>
              </w:rPr>
            </w:pPr>
            <w:r w:rsidRPr="00CF085B">
              <w:rPr>
                <w:lang w:val="es-MX"/>
              </w:rPr>
              <w:t>Gerente de Monedero Electrónico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6C919CE5" w:rsidR="00EE4942" w:rsidRDefault="00EE4942" w:rsidP="00EE4942">
            <w:pPr>
              <w:jc w:val="center"/>
              <w:rPr>
                <w:lang w:val="es-MX"/>
              </w:rPr>
            </w:pPr>
            <w:r w:rsidRPr="008754A9">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246F98">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1FF4524F" w:rsidR="00BB7846" w:rsidRDefault="0026718F" w:rsidP="00246F98">
      <w:pPr>
        <w:pStyle w:val="Prrafodelista"/>
        <w:numPr>
          <w:ilvl w:val="1"/>
          <w:numId w:val="2"/>
        </w:numPr>
        <w:jc w:val="both"/>
        <w:rPr>
          <w:rFonts w:cs="Arial"/>
          <w:color w:val="000000"/>
          <w:kern w:val="0"/>
          <w:lang w:val="es-MX" w:eastAsia="es-MX"/>
        </w:rPr>
      </w:pPr>
      <w:r w:rsidRPr="0026718F">
        <w:rPr>
          <w:rFonts w:cs="Arial"/>
          <w:color w:val="000000"/>
          <w:kern w:val="0"/>
          <w:lang w:val="es-MX" w:eastAsia="es-MX"/>
        </w:rPr>
        <w:t xml:space="preserve">Establecer, implementar, </w:t>
      </w:r>
      <w:bookmarkStart w:id="0" w:name="_GoBack"/>
      <w:bookmarkEnd w:id="0"/>
      <w:r w:rsidRPr="0026718F">
        <w:rPr>
          <w:rFonts w:cs="Arial"/>
          <w:color w:val="000000"/>
          <w:kern w:val="0"/>
          <w:lang w:val="es-MX" w:eastAsia="es-MX"/>
        </w:rPr>
        <w:t>mantener y mejorar el sistema para la gestión de activos. Además de permitir a una entidad local contar con un enfoque sistemático para alcanzar una mejora continua en su gestión, incluyendo todos los elementos que componen el inventario de bienes y derechos.</w:t>
      </w:r>
    </w:p>
    <w:p w14:paraId="0363D5B2" w14:textId="77777777" w:rsidR="0026718F" w:rsidRPr="0026718F" w:rsidRDefault="0026718F" w:rsidP="00246F98">
      <w:pPr>
        <w:pStyle w:val="Prrafodelista"/>
        <w:ind w:left="1080"/>
        <w:jc w:val="both"/>
        <w:rPr>
          <w:rFonts w:cs="Arial"/>
          <w:color w:val="000000"/>
          <w:kern w:val="0"/>
          <w:lang w:val="es-MX" w:eastAsia="es-MX"/>
        </w:rPr>
      </w:pPr>
    </w:p>
    <w:p w14:paraId="18AB005A" w14:textId="77777777" w:rsidR="001E29EA" w:rsidRDefault="00BB7846" w:rsidP="00246F98">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77D73140" w14:textId="4CD08085" w:rsidR="0026718F" w:rsidRPr="0074358A" w:rsidRDefault="0074358A" w:rsidP="00246F98">
      <w:pPr>
        <w:pStyle w:val="Prrafodelista"/>
        <w:numPr>
          <w:ilvl w:val="1"/>
          <w:numId w:val="2"/>
        </w:numPr>
        <w:jc w:val="both"/>
        <w:rPr>
          <w:rFonts w:cs="Arial"/>
          <w:lang w:val="es-MX"/>
        </w:rPr>
      </w:pPr>
      <w:r w:rsidRPr="0074358A">
        <w:rPr>
          <w:rFonts w:cs="Arial"/>
          <w:lang w:val="es-MX"/>
        </w:rPr>
        <w:t>El presente documento es aplicable a todos los activos y registros de información cuya naturaleza pueda ser física o digital dentro de la Organización.</w:t>
      </w:r>
    </w:p>
    <w:p w14:paraId="4DC51EBA" w14:textId="77777777" w:rsidR="0026718F" w:rsidRPr="0026718F" w:rsidRDefault="0026718F" w:rsidP="00246F98">
      <w:pPr>
        <w:pStyle w:val="Prrafodelista"/>
        <w:ind w:left="1080"/>
        <w:jc w:val="both"/>
        <w:rPr>
          <w:rFonts w:cs="Arial"/>
          <w:b/>
          <w:bCs/>
          <w:lang w:val="es-MX"/>
        </w:rPr>
      </w:pPr>
    </w:p>
    <w:p w14:paraId="20A15F51" w14:textId="77777777" w:rsidR="00BD7A76" w:rsidRPr="00BD7A76" w:rsidRDefault="00BD7A76" w:rsidP="00246F98">
      <w:pPr>
        <w:pStyle w:val="Encabezado"/>
        <w:numPr>
          <w:ilvl w:val="0"/>
          <w:numId w:val="2"/>
        </w:numPr>
        <w:tabs>
          <w:tab w:val="clear" w:pos="4320"/>
          <w:tab w:val="clear" w:pos="8640"/>
        </w:tabs>
        <w:spacing w:beforeLines="60" w:before="144" w:afterLines="60" w:after="144"/>
        <w:jc w:val="both"/>
        <w:rPr>
          <w:rFonts w:cs="Arial"/>
          <w:b/>
          <w:bCs/>
          <w:lang w:val="es-MX"/>
        </w:rPr>
      </w:pPr>
      <w:r w:rsidRPr="00BD7A76">
        <w:rPr>
          <w:rFonts w:cs="Arial"/>
          <w:b/>
          <w:bCs/>
          <w:sz w:val="22"/>
          <w:lang w:val="es-MX"/>
        </w:rPr>
        <w:t>Políticas</w:t>
      </w:r>
    </w:p>
    <w:p w14:paraId="3B74B5F7" w14:textId="0D7BCCF9" w:rsidR="008726ED" w:rsidRPr="007E2E2D" w:rsidRDefault="007E2E2D" w:rsidP="00246F98">
      <w:pPr>
        <w:pStyle w:val="Prrafodelista"/>
        <w:numPr>
          <w:ilvl w:val="1"/>
          <w:numId w:val="2"/>
        </w:numPr>
        <w:spacing w:beforeLines="60" w:before="144" w:afterLines="60" w:after="144"/>
        <w:contextualSpacing w:val="0"/>
        <w:jc w:val="both"/>
        <w:rPr>
          <w:b/>
          <w:bCs/>
          <w:lang w:val="es-MX"/>
        </w:rPr>
      </w:pPr>
      <w:r w:rsidRPr="007E2E2D">
        <w:rPr>
          <w:b/>
          <w:bCs/>
          <w:lang w:val="es-MX"/>
        </w:rPr>
        <w:t>Condiciones para la instalación de activos en el centro de datos y oficinas del tercero.</w:t>
      </w:r>
    </w:p>
    <w:p w14:paraId="71F575EF" w14:textId="77777777" w:rsidR="00FA2799" w:rsidRDefault="00FA2799" w:rsidP="00246F98">
      <w:pPr>
        <w:pStyle w:val="Prrafodelista"/>
        <w:numPr>
          <w:ilvl w:val="2"/>
          <w:numId w:val="2"/>
        </w:numPr>
        <w:spacing w:beforeLines="60" w:before="144" w:afterLines="60" w:after="144"/>
        <w:contextualSpacing w:val="0"/>
        <w:jc w:val="both"/>
        <w:rPr>
          <w:lang w:val="es-MX"/>
        </w:rPr>
      </w:pPr>
      <w:r w:rsidRPr="00FA2799">
        <w:rPr>
          <w:lang w:val="es-MX"/>
        </w:rPr>
        <w:t>La necesidad de instalación de algún activo podrá darse por alguna de las siguientes situaciones:</w:t>
      </w:r>
    </w:p>
    <w:p w14:paraId="7B253479" w14:textId="77777777" w:rsidR="00530F17" w:rsidRPr="00530F17" w:rsidRDefault="00530F17" w:rsidP="00246F98">
      <w:pPr>
        <w:pStyle w:val="Prrafodelista"/>
        <w:numPr>
          <w:ilvl w:val="0"/>
          <w:numId w:val="12"/>
        </w:numPr>
        <w:spacing w:beforeLines="60" w:before="144" w:afterLines="60" w:after="144"/>
        <w:jc w:val="both"/>
        <w:rPr>
          <w:lang w:val="es-MX"/>
        </w:rPr>
      </w:pPr>
      <w:r w:rsidRPr="00530F17">
        <w:rPr>
          <w:lang w:val="es-MX"/>
        </w:rPr>
        <w:t>Cuando haya el ingreso de un nuevo colaborador a la empresa.</w:t>
      </w:r>
    </w:p>
    <w:p w14:paraId="00355887" w14:textId="6EB1696B" w:rsidR="001E2389" w:rsidRDefault="00530F17" w:rsidP="00246F98">
      <w:pPr>
        <w:pStyle w:val="Prrafodelista"/>
        <w:numPr>
          <w:ilvl w:val="0"/>
          <w:numId w:val="12"/>
        </w:numPr>
        <w:spacing w:beforeLines="60" w:before="144" w:afterLines="60" w:after="144"/>
        <w:jc w:val="both"/>
        <w:rPr>
          <w:lang w:val="es-MX"/>
        </w:rPr>
      </w:pPr>
      <w:r w:rsidRPr="00530F17">
        <w:rPr>
          <w:lang w:val="es-MX"/>
        </w:rPr>
        <w:t>Cuando se requiera el reemplazo del algún activo existente.</w:t>
      </w:r>
    </w:p>
    <w:p w14:paraId="15E5057D" w14:textId="77777777" w:rsidR="00BF46C5" w:rsidRPr="00530F17" w:rsidRDefault="00BF46C5" w:rsidP="00246F98">
      <w:pPr>
        <w:pStyle w:val="Prrafodelista"/>
        <w:spacing w:beforeLines="60" w:before="144" w:afterLines="60" w:after="144"/>
        <w:ind w:left="2520"/>
        <w:jc w:val="both"/>
        <w:rPr>
          <w:lang w:val="es-MX"/>
        </w:rPr>
      </w:pPr>
    </w:p>
    <w:p w14:paraId="69D7DE02" w14:textId="6E616F63" w:rsidR="00DA3C6E" w:rsidRPr="00DA3C6E" w:rsidRDefault="00BF46C5" w:rsidP="00246F98">
      <w:pPr>
        <w:pStyle w:val="Prrafodelista"/>
        <w:numPr>
          <w:ilvl w:val="2"/>
          <w:numId w:val="2"/>
        </w:numPr>
        <w:spacing w:beforeLines="60" w:before="144" w:afterLines="60" w:after="144"/>
        <w:contextualSpacing w:val="0"/>
        <w:jc w:val="both"/>
        <w:rPr>
          <w:lang w:val="es-MX"/>
        </w:rPr>
      </w:pPr>
      <w:r w:rsidRPr="00BF46C5">
        <w:rPr>
          <w:lang w:val="es-MX"/>
        </w:rPr>
        <w:t>Para los casos de reemplazo de algún activo ya existente, se deberá revisar la existencia en el inventario del almacén general.</w:t>
      </w:r>
    </w:p>
    <w:p w14:paraId="7F30B51F" w14:textId="77777777" w:rsidR="00DA3C6E" w:rsidRPr="00DA3C6E" w:rsidRDefault="00DA3C6E" w:rsidP="00246F98">
      <w:pPr>
        <w:numPr>
          <w:ilvl w:val="3"/>
          <w:numId w:val="2"/>
        </w:numPr>
        <w:overflowPunct/>
        <w:autoSpaceDE/>
        <w:autoSpaceDN/>
        <w:adjustRightInd/>
        <w:spacing w:beforeLines="60" w:before="144" w:afterLines="60" w:after="144"/>
        <w:jc w:val="both"/>
        <w:textAlignment w:val="auto"/>
        <w:rPr>
          <w:lang w:val="es-MX"/>
        </w:rPr>
      </w:pPr>
      <w:r w:rsidRPr="00DA3C6E">
        <w:rPr>
          <w:lang w:val="es-MX"/>
        </w:rPr>
        <w:t>Si el activo se encuentra en stock se realizará la salida del material correspondiente, se deberá solicitar nombre del equipo, número de activo con los datos del material entregado, datos del personal que entrega el activo y la persona que recibe.</w:t>
      </w:r>
    </w:p>
    <w:p w14:paraId="0AA15225" w14:textId="77777777" w:rsidR="00DA3C6E" w:rsidRPr="00DA3C6E" w:rsidRDefault="00DA3C6E" w:rsidP="00246F98">
      <w:pPr>
        <w:numPr>
          <w:ilvl w:val="3"/>
          <w:numId w:val="2"/>
        </w:numPr>
        <w:overflowPunct/>
        <w:autoSpaceDE/>
        <w:autoSpaceDN/>
        <w:adjustRightInd/>
        <w:spacing w:before="100" w:beforeAutospacing="1" w:after="240"/>
        <w:jc w:val="both"/>
        <w:textAlignment w:val="auto"/>
        <w:rPr>
          <w:lang w:val="es-MX"/>
        </w:rPr>
      </w:pPr>
      <w:r w:rsidRPr="00DA3C6E">
        <w:rPr>
          <w:lang w:val="es-MX"/>
        </w:rPr>
        <w:t>Si el activo no se encuentra en stock se gestionará la compra correspondiente.</w:t>
      </w:r>
    </w:p>
    <w:p w14:paraId="4EE160B1" w14:textId="4E229923" w:rsidR="00812C56" w:rsidRPr="00812C56" w:rsidRDefault="00812C56" w:rsidP="00246F98">
      <w:pPr>
        <w:numPr>
          <w:ilvl w:val="2"/>
          <w:numId w:val="2"/>
        </w:numPr>
        <w:overflowPunct/>
        <w:autoSpaceDE/>
        <w:autoSpaceDN/>
        <w:adjustRightInd/>
        <w:spacing w:before="60" w:after="60"/>
        <w:ind w:left="1797"/>
        <w:jc w:val="both"/>
        <w:textAlignment w:val="auto"/>
        <w:rPr>
          <w:lang w:val="es-MX"/>
        </w:rPr>
      </w:pPr>
      <w:r w:rsidRPr="00812C56">
        <w:rPr>
          <w:lang w:val="es-MX"/>
        </w:rPr>
        <w:t>Cuando la instalación del equipo se detone por el ingreso de un nuevo colaborador se realizará la compra del o los activos.</w:t>
      </w:r>
    </w:p>
    <w:p w14:paraId="37475738" w14:textId="77777777" w:rsidR="00812C56" w:rsidRPr="00812C56" w:rsidRDefault="00812C56" w:rsidP="00246F98">
      <w:pPr>
        <w:numPr>
          <w:ilvl w:val="2"/>
          <w:numId w:val="2"/>
        </w:numPr>
        <w:overflowPunct/>
        <w:autoSpaceDE/>
        <w:autoSpaceDN/>
        <w:adjustRightInd/>
        <w:spacing w:before="60" w:after="60"/>
        <w:ind w:left="1797"/>
        <w:jc w:val="both"/>
        <w:textAlignment w:val="auto"/>
        <w:rPr>
          <w:lang w:val="es-MX"/>
        </w:rPr>
      </w:pPr>
      <w:r w:rsidRPr="00812C56">
        <w:rPr>
          <w:lang w:val="es-MX"/>
        </w:rPr>
        <w:t>La instalación de activos para colaboradores nuevos o reemplazo deberán ser solicitadas por medio del sistema interno.</w:t>
      </w:r>
    </w:p>
    <w:p w14:paraId="62B71DB3" w14:textId="07C8F8CC" w:rsidR="00F61F05" w:rsidRDefault="00812C56" w:rsidP="00246F98">
      <w:pPr>
        <w:numPr>
          <w:ilvl w:val="2"/>
          <w:numId w:val="2"/>
        </w:numPr>
        <w:overflowPunct/>
        <w:autoSpaceDE/>
        <w:autoSpaceDN/>
        <w:adjustRightInd/>
        <w:spacing w:before="60" w:after="60"/>
        <w:ind w:left="1797"/>
        <w:jc w:val="both"/>
        <w:textAlignment w:val="auto"/>
        <w:rPr>
          <w:lang w:val="es-MX"/>
        </w:rPr>
      </w:pPr>
      <w:r w:rsidRPr="00812C56">
        <w:rPr>
          <w:lang w:val="es-MX"/>
        </w:rPr>
        <w:t>La instalación de activos será realizada por medio del equipo de Soporte Técnico que corresponda.</w:t>
      </w:r>
    </w:p>
    <w:p w14:paraId="55CA9CCE" w14:textId="77777777" w:rsidR="00C74AFA" w:rsidRDefault="00C74AFA" w:rsidP="00246F98">
      <w:pPr>
        <w:overflowPunct/>
        <w:autoSpaceDE/>
        <w:autoSpaceDN/>
        <w:adjustRightInd/>
        <w:spacing w:before="60" w:after="60"/>
        <w:ind w:left="1797"/>
        <w:jc w:val="both"/>
        <w:textAlignment w:val="auto"/>
        <w:rPr>
          <w:lang w:val="es-MX"/>
        </w:rPr>
      </w:pPr>
    </w:p>
    <w:p w14:paraId="24B62133" w14:textId="0F83E2C6" w:rsidR="00812C56" w:rsidRDefault="00812C56" w:rsidP="00246F98">
      <w:pPr>
        <w:numPr>
          <w:ilvl w:val="1"/>
          <w:numId w:val="2"/>
        </w:numPr>
        <w:overflowPunct/>
        <w:autoSpaceDE/>
        <w:autoSpaceDN/>
        <w:adjustRightInd/>
        <w:spacing w:before="100" w:beforeAutospacing="1" w:after="240"/>
        <w:jc w:val="both"/>
        <w:textAlignment w:val="auto"/>
        <w:rPr>
          <w:b/>
          <w:bCs/>
          <w:lang w:val="es-MX"/>
        </w:rPr>
      </w:pPr>
      <w:r w:rsidRPr="00C74AFA">
        <w:rPr>
          <w:b/>
          <w:bCs/>
          <w:lang w:val="es-MX"/>
        </w:rPr>
        <w:t>Requerimientos de seguridad de cableado y redes i</w:t>
      </w:r>
      <w:r w:rsidR="00C74AFA" w:rsidRPr="00C74AFA">
        <w:rPr>
          <w:b/>
          <w:bCs/>
          <w:lang w:val="es-MX"/>
        </w:rPr>
        <w:t>nalámbricas</w:t>
      </w:r>
      <w:r w:rsidR="002B14A7">
        <w:rPr>
          <w:b/>
          <w:bCs/>
          <w:lang w:val="es-MX"/>
        </w:rPr>
        <w:t>.</w:t>
      </w:r>
    </w:p>
    <w:p w14:paraId="54048E53"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La instalación de cableado de red deberá estar entubada, protegida por canaletas o debidamente organizada en escalerilla a la altura del techo, de manera que se encuentre fuera del alcance de los usuarios, esto es, para evitar que pudieran dañarlas intencional o accidentalmente.</w:t>
      </w:r>
    </w:p>
    <w:p w14:paraId="4DD4FBDD"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Los dispositivos de interconexión como conmutadores de red, enrutadores y puntos de acceso inalámbricos deberán permanecer fuera del alcance de los usuarios.</w:t>
      </w:r>
    </w:p>
    <w:p w14:paraId="7ECF34D5"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 xml:space="preserve">La información que circule por el cableado deberá estar cifrada utilizando algoritmos modernos y certificados de al menos 2048 bits. </w:t>
      </w:r>
    </w:p>
    <w:p w14:paraId="6E2AD0A1" w14:textId="77777777" w:rsidR="002B14A7" w:rsidRP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 xml:space="preserve">Se deberán utilizar controles de accesos basadas en direcciones MAC para autorizar el acceso a la red del corporativo. </w:t>
      </w:r>
    </w:p>
    <w:p w14:paraId="7B929710" w14:textId="77777777" w:rsidR="002B14A7" w:rsidRDefault="002B14A7" w:rsidP="00246F98">
      <w:pPr>
        <w:numPr>
          <w:ilvl w:val="2"/>
          <w:numId w:val="2"/>
        </w:numPr>
        <w:overflowPunct/>
        <w:autoSpaceDE/>
        <w:autoSpaceDN/>
        <w:adjustRightInd/>
        <w:spacing w:before="100" w:after="100"/>
        <w:ind w:left="1797"/>
        <w:jc w:val="both"/>
        <w:textAlignment w:val="auto"/>
        <w:rPr>
          <w:lang w:val="es-MX"/>
        </w:rPr>
      </w:pPr>
      <w:r w:rsidRPr="002B14A7">
        <w:rPr>
          <w:lang w:val="es-MX"/>
        </w:rPr>
        <w:t>Cuando se usen redes inalámbricas estas deberán utilizar el sistema de encriptación WAP-PSK-AES y se deberá acceder en base a una lista de direcciones MAC.</w:t>
      </w:r>
    </w:p>
    <w:p w14:paraId="117231B5" w14:textId="77777777" w:rsidR="002B14A7" w:rsidRPr="002B14A7" w:rsidRDefault="002B14A7" w:rsidP="00246F98">
      <w:pPr>
        <w:overflowPunct/>
        <w:autoSpaceDE/>
        <w:autoSpaceDN/>
        <w:adjustRightInd/>
        <w:spacing w:before="100" w:after="100"/>
        <w:ind w:left="1797"/>
        <w:jc w:val="both"/>
        <w:textAlignment w:val="auto"/>
        <w:rPr>
          <w:lang w:val="es-MX"/>
        </w:rPr>
      </w:pPr>
    </w:p>
    <w:p w14:paraId="70B33D6A" w14:textId="14C5B26F" w:rsidR="002B14A7" w:rsidRPr="00A21F94" w:rsidRDefault="00A21F94" w:rsidP="00246F98">
      <w:pPr>
        <w:numPr>
          <w:ilvl w:val="1"/>
          <w:numId w:val="2"/>
        </w:numPr>
        <w:overflowPunct/>
        <w:autoSpaceDE/>
        <w:autoSpaceDN/>
        <w:adjustRightInd/>
        <w:spacing w:beforeLines="60" w:before="144" w:afterLines="60" w:after="144"/>
        <w:ind w:left="1077" w:hanging="357"/>
        <w:jc w:val="both"/>
        <w:textAlignment w:val="auto"/>
        <w:rPr>
          <w:b/>
          <w:bCs/>
          <w:lang w:val="es-MX"/>
        </w:rPr>
      </w:pPr>
      <w:r w:rsidRPr="00A21F94">
        <w:rPr>
          <w:b/>
          <w:bCs/>
          <w:lang w:val="es-MX"/>
        </w:rPr>
        <w:lastRenderedPageBreak/>
        <w:t>Baja de equipos en las oficinas o en el centro de datos.</w:t>
      </w:r>
    </w:p>
    <w:p w14:paraId="669571BF" w14:textId="77777777" w:rsidR="00381940" w:rsidRDefault="00381940" w:rsidP="00246F98">
      <w:pPr>
        <w:pStyle w:val="Prrafodelista"/>
        <w:numPr>
          <w:ilvl w:val="2"/>
          <w:numId w:val="2"/>
        </w:numPr>
        <w:spacing w:beforeLines="60" w:before="144" w:afterLines="60" w:after="144"/>
        <w:contextualSpacing w:val="0"/>
        <w:jc w:val="both"/>
        <w:rPr>
          <w:lang w:val="es-MX"/>
        </w:rPr>
      </w:pPr>
      <w:r w:rsidRPr="00381940">
        <w:rPr>
          <w:lang w:val="es-MX"/>
        </w:rPr>
        <w:t>La baja de activos se dará por alguna de las siguientes situaciones:</w:t>
      </w:r>
    </w:p>
    <w:p w14:paraId="1A71618E" w14:textId="77777777" w:rsidR="00C20915" w:rsidRDefault="00A27EA1" w:rsidP="00246F98">
      <w:pPr>
        <w:pStyle w:val="Prrafodelista"/>
        <w:numPr>
          <w:ilvl w:val="0"/>
          <w:numId w:val="14"/>
        </w:numPr>
        <w:overflowPunct/>
        <w:autoSpaceDE/>
        <w:autoSpaceDN/>
        <w:adjustRightInd/>
        <w:spacing w:beforeLines="60" w:before="144" w:afterLines="60" w:after="144"/>
        <w:jc w:val="both"/>
        <w:textAlignment w:val="auto"/>
        <w:rPr>
          <w:lang w:val="es-MX"/>
        </w:rPr>
      </w:pPr>
      <w:r>
        <w:rPr>
          <w:lang w:val="es-MX"/>
        </w:rPr>
        <w:t>Actualización del equipo</w:t>
      </w:r>
    </w:p>
    <w:p w14:paraId="74A3ADCC" w14:textId="52BF92D9" w:rsidR="00A27EA1" w:rsidRDefault="00A27EA1" w:rsidP="00246F98">
      <w:pPr>
        <w:pStyle w:val="Prrafodelista"/>
        <w:numPr>
          <w:ilvl w:val="0"/>
          <w:numId w:val="14"/>
        </w:numPr>
        <w:overflowPunct/>
        <w:autoSpaceDE/>
        <w:autoSpaceDN/>
        <w:adjustRightInd/>
        <w:spacing w:beforeLines="60" w:before="144" w:afterLines="60" w:after="144"/>
        <w:jc w:val="both"/>
        <w:textAlignment w:val="auto"/>
        <w:rPr>
          <w:lang w:val="es-MX"/>
        </w:rPr>
      </w:pPr>
      <w:r w:rsidRPr="00C20915">
        <w:rPr>
          <w:lang w:val="es-MX"/>
        </w:rPr>
        <w:t>Reemplazo del equipo</w:t>
      </w:r>
    </w:p>
    <w:p w14:paraId="0E5F37CF" w14:textId="77777777" w:rsidR="005F4CB3" w:rsidRPr="00C20915" w:rsidRDefault="005F4CB3" w:rsidP="00246F98">
      <w:pPr>
        <w:pStyle w:val="Prrafodelista"/>
        <w:overflowPunct/>
        <w:autoSpaceDE/>
        <w:autoSpaceDN/>
        <w:adjustRightInd/>
        <w:spacing w:beforeLines="60" w:before="144" w:afterLines="60" w:after="144"/>
        <w:ind w:left="2520"/>
        <w:jc w:val="both"/>
        <w:textAlignment w:val="auto"/>
        <w:rPr>
          <w:lang w:val="es-MX"/>
        </w:rPr>
      </w:pPr>
    </w:p>
    <w:p w14:paraId="740110AC" w14:textId="77777777" w:rsidR="00C20915" w:rsidRDefault="00C20915" w:rsidP="00246F98">
      <w:pPr>
        <w:pStyle w:val="Prrafodelista"/>
        <w:numPr>
          <w:ilvl w:val="2"/>
          <w:numId w:val="2"/>
        </w:numPr>
        <w:jc w:val="both"/>
        <w:rPr>
          <w:lang w:val="es-MX"/>
        </w:rPr>
      </w:pPr>
      <w:r w:rsidRPr="00C20915">
        <w:rPr>
          <w:lang w:val="es-MX"/>
        </w:rPr>
        <w:t>Cuando algún usuario requiera la baja de un activo por alguna de las razones indicadas en el punto 3.3.1 de este documento, se deberá solicitar al área de TI la valoración de equipo, para que estos determinen si aplica o no la baja.</w:t>
      </w:r>
    </w:p>
    <w:p w14:paraId="7143C13D" w14:textId="77777777" w:rsidR="00936B02" w:rsidRPr="00C20915" w:rsidRDefault="00936B02" w:rsidP="00246F98">
      <w:pPr>
        <w:pStyle w:val="Prrafodelista"/>
        <w:ind w:left="1800"/>
        <w:jc w:val="both"/>
        <w:rPr>
          <w:lang w:val="es-MX"/>
        </w:rPr>
      </w:pPr>
    </w:p>
    <w:p w14:paraId="102899F3" w14:textId="77777777" w:rsidR="00936B02" w:rsidRDefault="00936B02" w:rsidP="00246F98">
      <w:pPr>
        <w:pStyle w:val="Prrafodelista"/>
        <w:numPr>
          <w:ilvl w:val="3"/>
          <w:numId w:val="2"/>
        </w:numPr>
        <w:jc w:val="both"/>
        <w:rPr>
          <w:lang w:val="es-MX"/>
        </w:rPr>
      </w:pPr>
      <w:r w:rsidRPr="00936B02">
        <w:rPr>
          <w:lang w:val="es-MX"/>
        </w:rPr>
        <w:t>Cuando la baja del activo corresponda al centro de datos el área de Infraestructura deberá justificar y presentar la valoración del equipo a la Gerencia de TI, para que este último autorice la baja correspondiente.</w:t>
      </w:r>
    </w:p>
    <w:p w14:paraId="27FF5292" w14:textId="3EF673A7" w:rsidR="005A2C58" w:rsidRPr="00936B02" w:rsidRDefault="005A2C58" w:rsidP="00246F98">
      <w:pPr>
        <w:pStyle w:val="Prrafodelista"/>
        <w:ind w:left="2160"/>
        <w:jc w:val="both"/>
        <w:rPr>
          <w:lang w:val="es-MX"/>
        </w:rPr>
      </w:pPr>
    </w:p>
    <w:p w14:paraId="19E3C174" w14:textId="77777777" w:rsidR="005A2C58" w:rsidRDefault="005A2C58" w:rsidP="00246F98">
      <w:pPr>
        <w:pStyle w:val="Prrafodelista"/>
        <w:numPr>
          <w:ilvl w:val="2"/>
          <w:numId w:val="2"/>
        </w:numPr>
        <w:jc w:val="both"/>
        <w:rPr>
          <w:lang w:val="es-MX"/>
        </w:rPr>
      </w:pPr>
      <w:r w:rsidRPr="005A2C58">
        <w:rPr>
          <w:lang w:val="es-MX"/>
        </w:rPr>
        <w:t>Cuando se vaya a realizar la baja de algún activo, la desinstalación del equipo deberá ser realizada por las áreas de Soporte Técnico y/o TI.</w:t>
      </w:r>
    </w:p>
    <w:p w14:paraId="149B29C4" w14:textId="77777777" w:rsidR="005F4CB3" w:rsidRPr="005A2C58" w:rsidRDefault="005F4CB3" w:rsidP="00246F98">
      <w:pPr>
        <w:pStyle w:val="Prrafodelista"/>
        <w:ind w:left="1800"/>
        <w:jc w:val="both"/>
        <w:rPr>
          <w:lang w:val="es-MX"/>
        </w:rPr>
      </w:pPr>
    </w:p>
    <w:p w14:paraId="609E5272" w14:textId="0C0E14C1" w:rsidR="00A21F94" w:rsidRDefault="0044460F" w:rsidP="00246F98">
      <w:pPr>
        <w:pStyle w:val="Prrafodelista"/>
        <w:numPr>
          <w:ilvl w:val="0"/>
          <w:numId w:val="14"/>
        </w:numPr>
        <w:overflowPunct/>
        <w:autoSpaceDE/>
        <w:autoSpaceDN/>
        <w:adjustRightInd/>
        <w:spacing w:beforeLines="60" w:before="144" w:afterLines="60" w:after="144"/>
        <w:jc w:val="both"/>
        <w:textAlignment w:val="auto"/>
        <w:rPr>
          <w:lang w:val="es-MX"/>
        </w:rPr>
      </w:pPr>
      <w:r>
        <w:rPr>
          <w:lang w:val="es-MX"/>
        </w:rPr>
        <w:t>Se toman los datos de AF y No. De Serie</w:t>
      </w:r>
    </w:p>
    <w:p w14:paraId="71B8E67A" w14:textId="0AF2A6A3" w:rsidR="0044460F" w:rsidRDefault="0044460F" w:rsidP="00246F98">
      <w:pPr>
        <w:pStyle w:val="Prrafodelista"/>
        <w:numPr>
          <w:ilvl w:val="0"/>
          <w:numId w:val="14"/>
        </w:numPr>
        <w:overflowPunct/>
        <w:autoSpaceDE/>
        <w:autoSpaceDN/>
        <w:adjustRightInd/>
        <w:spacing w:beforeLines="60" w:before="144" w:afterLines="60" w:after="144"/>
        <w:jc w:val="both"/>
        <w:textAlignment w:val="auto"/>
        <w:rPr>
          <w:lang w:val="es-MX"/>
        </w:rPr>
      </w:pPr>
      <w:r>
        <w:rPr>
          <w:lang w:val="es-MX"/>
        </w:rPr>
        <w:t>Se retira el equipo y</w:t>
      </w:r>
      <w:r w:rsidR="005F4CB3">
        <w:rPr>
          <w:lang w:val="es-MX"/>
        </w:rPr>
        <w:t xml:space="preserve"> se entrega al almacén general</w:t>
      </w:r>
    </w:p>
    <w:p w14:paraId="00399403" w14:textId="77777777" w:rsidR="00DD649C" w:rsidRPr="0044460F" w:rsidRDefault="00DD649C" w:rsidP="00246F98">
      <w:pPr>
        <w:pStyle w:val="Prrafodelista"/>
        <w:overflowPunct/>
        <w:autoSpaceDE/>
        <w:autoSpaceDN/>
        <w:adjustRightInd/>
        <w:spacing w:beforeLines="60" w:before="144" w:afterLines="60" w:after="144"/>
        <w:ind w:left="2520"/>
        <w:jc w:val="both"/>
        <w:textAlignment w:val="auto"/>
        <w:rPr>
          <w:lang w:val="es-MX"/>
        </w:rPr>
      </w:pPr>
    </w:p>
    <w:p w14:paraId="52BC6B22" w14:textId="77777777" w:rsidR="00DD649C" w:rsidRDefault="00DD649C" w:rsidP="00246F98">
      <w:pPr>
        <w:pStyle w:val="Prrafodelista"/>
        <w:numPr>
          <w:ilvl w:val="2"/>
          <w:numId w:val="2"/>
        </w:numPr>
        <w:jc w:val="both"/>
        <w:rPr>
          <w:lang w:val="es-MX"/>
        </w:rPr>
      </w:pPr>
      <w:r w:rsidRPr="00DD649C">
        <w:rPr>
          <w:lang w:val="es-MX"/>
        </w:rPr>
        <w:t>El área de Compras es responsable de gestionar la baja correspondiente con el departamento de Contabilidad.</w:t>
      </w:r>
    </w:p>
    <w:p w14:paraId="06B214A1" w14:textId="77777777" w:rsidR="00614A03" w:rsidRPr="00DD649C" w:rsidRDefault="00614A03" w:rsidP="00246F98">
      <w:pPr>
        <w:pStyle w:val="Prrafodelista"/>
        <w:ind w:left="1800"/>
        <w:jc w:val="both"/>
        <w:rPr>
          <w:lang w:val="es-MX"/>
        </w:rPr>
      </w:pPr>
    </w:p>
    <w:p w14:paraId="6718CBEE" w14:textId="6A33F435" w:rsidR="0044460F" w:rsidRPr="00614A03" w:rsidRDefault="00614A03" w:rsidP="00246F98">
      <w:pPr>
        <w:numPr>
          <w:ilvl w:val="1"/>
          <w:numId w:val="2"/>
        </w:numPr>
        <w:overflowPunct/>
        <w:autoSpaceDE/>
        <w:autoSpaceDN/>
        <w:adjustRightInd/>
        <w:spacing w:beforeLines="60" w:before="144" w:afterLines="60" w:after="144"/>
        <w:jc w:val="both"/>
        <w:textAlignment w:val="auto"/>
        <w:rPr>
          <w:b/>
          <w:bCs/>
          <w:lang w:val="es-MX"/>
        </w:rPr>
      </w:pPr>
      <w:r w:rsidRPr="00614A03">
        <w:rPr>
          <w:b/>
          <w:bCs/>
          <w:lang w:val="es-MX"/>
        </w:rPr>
        <w:t>Reúso de medios de almacenamiento.</w:t>
      </w:r>
    </w:p>
    <w:p w14:paraId="6BCA2903" w14:textId="77777777" w:rsidR="00157FAE" w:rsidRPr="00157FAE" w:rsidRDefault="00157FAE" w:rsidP="00246F98">
      <w:pPr>
        <w:numPr>
          <w:ilvl w:val="2"/>
          <w:numId w:val="2"/>
        </w:numPr>
        <w:overflowPunct/>
        <w:autoSpaceDE/>
        <w:autoSpaceDN/>
        <w:adjustRightInd/>
        <w:spacing w:beforeLines="60" w:before="144" w:afterLines="60" w:after="144"/>
        <w:jc w:val="both"/>
        <w:textAlignment w:val="auto"/>
        <w:rPr>
          <w:lang w:val="es-MX"/>
        </w:rPr>
      </w:pPr>
      <w:r w:rsidRPr="00157FAE">
        <w:rPr>
          <w:b/>
          <w:bCs/>
          <w:lang w:val="es-MX"/>
        </w:rPr>
        <w:t>Tapes LTO:</w:t>
      </w:r>
      <w:r w:rsidRPr="00157FAE">
        <w:rPr>
          <w:lang w:val="es-MX"/>
        </w:rPr>
        <w:t xml:space="preserve"> Se deberán reciclar hasta alcanzar su vida útil a medida que se roten los respaldos, estos no deberán ser extraídos de la librería, a menos que estén dañados o hayan alcanzado su periodo de vida útil recomendado.</w:t>
      </w:r>
    </w:p>
    <w:p w14:paraId="45945572" w14:textId="77777777" w:rsidR="00157FAE" w:rsidRDefault="00157FAE" w:rsidP="00246F98">
      <w:pPr>
        <w:numPr>
          <w:ilvl w:val="2"/>
          <w:numId w:val="2"/>
        </w:numPr>
        <w:overflowPunct/>
        <w:autoSpaceDE/>
        <w:autoSpaceDN/>
        <w:adjustRightInd/>
        <w:spacing w:beforeLines="60" w:before="144" w:afterLines="60" w:after="144"/>
        <w:jc w:val="both"/>
        <w:textAlignment w:val="auto"/>
        <w:rPr>
          <w:lang w:val="es-MX"/>
        </w:rPr>
      </w:pPr>
      <w:r w:rsidRPr="00157FAE">
        <w:rPr>
          <w:b/>
          <w:bCs/>
          <w:lang w:val="es-MX"/>
        </w:rPr>
        <w:t>Unidades de almacenamiento extraíbles USB:</w:t>
      </w:r>
      <w:r w:rsidRPr="00157FAE">
        <w:rPr>
          <w:lang w:val="es-MX"/>
        </w:rPr>
        <w:t xml:space="preserve"> El uso de los dispositivos de almacenamiento extraíbles está prohibido en la empresa, por lo que los puertos correspondientes se encuentran bloqueados.</w:t>
      </w:r>
    </w:p>
    <w:p w14:paraId="1ADBB45E" w14:textId="77777777" w:rsidR="005A1342" w:rsidRPr="00157FAE" w:rsidRDefault="005A1342" w:rsidP="00246F98">
      <w:pPr>
        <w:overflowPunct/>
        <w:autoSpaceDE/>
        <w:autoSpaceDN/>
        <w:adjustRightInd/>
        <w:spacing w:beforeLines="60" w:before="144" w:afterLines="60" w:after="144"/>
        <w:ind w:left="1800"/>
        <w:jc w:val="both"/>
        <w:textAlignment w:val="auto"/>
        <w:rPr>
          <w:lang w:val="es-MX"/>
        </w:rPr>
      </w:pPr>
    </w:p>
    <w:p w14:paraId="25F4C872" w14:textId="0906618F" w:rsidR="005A1342" w:rsidRDefault="005A1342" w:rsidP="00246F98">
      <w:pPr>
        <w:numPr>
          <w:ilvl w:val="1"/>
          <w:numId w:val="2"/>
        </w:numPr>
        <w:overflowPunct/>
        <w:autoSpaceDE/>
        <w:autoSpaceDN/>
        <w:adjustRightInd/>
        <w:spacing w:beforeLines="60" w:before="144" w:afterLines="60" w:after="144"/>
        <w:jc w:val="both"/>
        <w:textAlignment w:val="auto"/>
        <w:rPr>
          <w:b/>
          <w:bCs/>
          <w:lang w:val="es-MX"/>
        </w:rPr>
      </w:pPr>
      <w:r w:rsidRPr="005A1342">
        <w:rPr>
          <w:b/>
          <w:bCs/>
          <w:lang w:val="es-MX"/>
        </w:rPr>
        <w:t>Destrucción de medios de almacenamiento.</w:t>
      </w:r>
    </w:p>
    <w:p w14:paraId="4BEDCBEF" w14:textId="77777777" w:rsidR="00D90555" w:rsidRPr="00D90555" w:rsidRDefault="00D90555" w:rsidP="00246F98">
      <w:pPr>
        <w:numPr>
          <w:ilvl w:val="2"/>
          <w:numId w:val="2"/>
        </w:numPr>
        <w:overflowPunct/>
        <w:autoSpaceDE/>
        <w:autoSpaceDN/>
        <w:adjustRightInd/>
        <w:spacing w:beforeLines="60" w:before="144" w:afterLines="60" w:after="144"/>
        <w:jc w:val="both"/>
        <w:textAlignment w:val="auto"/>
        <w:rPr>
          <w:lang w:val="es-MX"/>
        </w:rPr>
      </w:pPr>
      <w:r w:rsidRPr="00D90555">
        <w:rPr>
          <w:lang w:val="es-MX"/>
        </w:rPr>
        <w:t>Los dispositivos de almacenamiento que sean retirados de los servidores por motivo de crecimiento de espacio o fin de vida útil deberán ser previamente borrados con algún software que evite su recuperación.</w:t>
      </w:r>
    </w:p>
    <w:p w14:paraId="7CB566D0" w14:textId="77777777" w:rsidR="00D90555" w:rsidRDefault="00D90555" w:rsidP="00246F98">
      <w:pPr>
        <w:numPr>
          <w:ilvl w:val="2"/>
          <w:numId w:val="2"/>
        </w:numPr>
        <w:overflowPunct/>
        <w:autoSpaceDE/>
        <w:autoSpaceDN/>
        <w:adjustRightInd/>
        <w:spacing w:beforeLines="60" w:before="144" w:afterLines="60" w:after="144"/>
        <w:jc w:val="both"/>
        <w:textAlignment w:val="auto"/>
        <w:rPr>
          <w:lang w:val="es-MX"/>
        </w:rPr>
      </w:pPr>
      <w:r w:rsidRPr="00D90555">
        <w:rPr>
          <w:lang w:val="es-MX"/>
        </w:rPr>
        <w:t>Cuando los dispositivos sean retirados por fallas o daños, deberán destruirse físicamente y ser enviados al almacén general para gestionar la baja correspondiente y el debido tratamiento.</w:t>
      </w:r>
    </w:p>
    <w:p w14:paraId="53D41B47" w14:textId="77777777" w:rsidR="00D90555" w:rsidRPr="00D90555" w:rsidRDefault="00D90555" w:rsidP="00246F98">
      <w:pPr>
        <w:overflowPunct/>
        <w:autoSpaceDE/>
        <w:autoSpaceDN/>
        <w:adjustRightInd/>
        <w:spacing w:beforeLines="60" w:before="144" w:afterLines="60" w:after="144"/>
        <w:ind w:left="1800"/>
        <w:jc w:val="both"/>
        <w:textAlignment w:val="auto"/>
        <w:rPr>
          <w:lang w:val="es-MX"/>
        </w:rPr>
      </w:pPr>
    </w:p>
    <w:p w14:paraId="094807FB" w14:textId="3E6FC355" w:rsidR="00F61F05" w:rsidRDefault="00D90555" w:rsidP="00246F98">
      <w:pPr>
        <w:numPr>
          <w:ilvl w:val="1"/>
          <w:numId w:val="2"/>
        </w:numPr>
        <w:overflowPunct/>
        <w:autoSpaceDE/>
        <w:autoSpaceDN/>
        <w:adjustRightInd/>
        <w:spacing w:beforeLines="60" w:before="144" w:afterLines="60" w:after="144"/>
        <w:jc w:val="both"/>
        <w:textAlignment w:val="auto"/>
        <w:rPr>
          <w:b/>
          <w:bCs/>
          <w:lang w:val="es-MX"/>
        </w:rPr>
      </w:pPr>
      <w:r>
        <w:rPr>
          <w:b/>
          <w:bCs/>
          <w:lang w:val="es-MX"/>
        </w:rPr>
        <w:t>Gestión de garantías en medios de almacenamiento.</w:t>
      </w:r>
    </w:p>
    <w:p w14:paraId="420244F6" w14:textId="6DD6DF65" w:rsidR="00246F98" w:rsidRDefault="00246F98" w:rsidP="00246F98">
      <w:pPr>
        <w:pStyle w:val="Prrafodelista"/>
        <w:numPr>
          <w:ilvl w:val="2"/>
          <w:numId w:val="2"/>
        </w:numPr>
        <w:jc w:val="both"/>
        <w:rPr>
          <w:lang w:val="es-MX"/>
        </w:rPr>
      </w:pPr>
      <w:r w:rsidRPr="00246F98">
        <w:rPr>
          <w:lang w:val="es-MX"/>
        </w:rPr>
        <w:t>Cuando se requiera gestionar la garantía correspondiente de medios de almacenamiento, especialmente los discos internos, antes de enviar al proveedor o fabricante estos deberán ser previamente borrados con algún software que evite su recuperación, de no ser posible su acceso se deberán destruir físicamente y reponerlo comprando uno nuevo</w:t>
      </w:r>
      <w:r w:rsidR="00F25CE6">
        <w:rPr>
          <w:lang w:val="es-MX"/>
        </w:rPr>
        <w:t>.</w:t>
      </w:r>
    </w:p>
    <w:p w14:paraId="5FC93699" w14:textId="77777777" w:rsidR="00F25CE6" w:rsidRDefault="00F25CE6" w:rsidP="00F25CE6">
      <w:pPr>
        <w:pStyle w:val="Prrafodelista"/>
        <w:ind w:left="1800"/>
        <w:jc w:val="both"/>
        <w:rPr>
          <w:lang w:val="es-MX"/>
        </w:rPr>
      </w:pPr>
    </w:p>
    <w:p w14:paraId="181100B1" w14:textId="77777777" w:rsidR="00F25CE6" w:rsidRPr="00F25CE6" w:rsidRDefault="00F25CE6" w:rsidP="00F25CE6">
      <w:pPr>
        <w:pStyle w:val="Prrafodelista"/>
        <w:numPr>
          <w:ilvl w:val="3"/>
          <w:numId w:val="2"/>
        </w:numPr>
        <w:rPr>
          <w:lang w:val="es-MX"/>
        </w:rPr>
      </w:pPr>
      <w:r w:rsidRPr="00F25CE6">
        <w:rPr>
          <w:lang w:val="es-MX"/>
        </w:rPr>
        <w:t>Cuando el dispositivo de almacenamiento sea destruido se deberá enviar al almacén general para su debido tratamiento.</w:t>
      </w:r>
    </w:p>
    <w:p w14:paraId="674E583A" w14:textId="55B802C9" w:rsidR="00246F98" w:rsidRDefault="00F25CE6" w:rsidP="00715D5B">
      <w:pPr>
        <w:pStyle w:val="Prrafodelista"/>
        <w:numPr>
          <w:ilvl w:val="1"/>
          <w:numId w:val="2"/>
        </w:numPr>
        <w:spacing w:before="60" w:after="60"/>
        <w:contextualSpacing w:val="0"/>
        <w:jc w:val="both"/>
        <w:rPr>
          <w:b/>
          <w:bCs/>
          <w:lang w:val="es-MX"/>
        </w:rPr>
      </w:pPr>
      <w:r w:rsidRPr="00095DA5">
        <w:rPr>
          <w:b/>
          <w:bCs/>
          <w:lang w:val="es-MX"/>
        </w:rPr>
        <w:lastRenderedPageBreak/>
        <w:t>Borrado se</w:t>
      </w:r>
      <w:r w:rsidR="00095DA5" w:rsidRPr="00095DA5">
        <w:rPr>
          <w:b/>
          <w:bCs/>
          <w:lang w:val="es-MX"/>
        </w:rPr>
        <w:t>g</w:t>
      </w:r>
      <w:r w:rsidRPr="00095DA5">
        <w:rPr>
          <w:b/>
          <w:bCs/>
          <w:lang w:val="es-MX"/>
        </w:rPr>
        <w:t>uro de medios de almacenamiento.</w:t>
      </w:r>
    </w:p>
    <w:p w14:paraId="13FF2B00" w14:textId="77777777" w:rsidR="00715D5B" w:rsidRPr="00715D5B" w:rsidRDefault="00715D5B" w:rsidP="00715D5B">
      <w:pPr>
        <w:pStyle w:val="Prrafodelista"/>
        <w:numPr>
          <w:ilvl w:val="2"/>
          <w:numId w:val="2"/>
        </w:numPr>
        <w:spacing w:before="60" w:after="60"/>
        <w:contextualSpacing w:val="0"/>
        <w:jc w:val="both"/>
        <w:rPr>
          <w:lang w:val="es-MX"/>
        </w:rPr>
      </w:pPr>
      <w:r w:rsidRPr="00715D5B">
        <w:rPr>
          <w:lang w:val="es-MX"/>
        </w:rPr>
        <w:t>Cuando se decida reutilizar medios de almacenamiento que fueron usados en el monedero electrónico, los datos sensibles para la Organización deberán ser borrados con alguna utilería que sobrescriba con datos aleatorios toda la superficie de dicho dispositivo al menos en dos ocasiones.</w:t>
      </w:r>
    </w:p>
    <w:p w14:paraId="66C9BE86" w14:textId="400541D9" w:rsidR="00F25CE6" w:rsidRPr="00DE0A24" w:rsidRDefault="00F25CE6" w:rsidP="00DE0A24">
      <w:pPr>
        <w:pStyle w:val="Prrafodelista"/>
        <w:ind w:left="1080"/>
        <w:jc w:val="both"/>
        <w:rPr>
          <w:b/>
          <w:bCs/>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34824FD8" w14:textId="17C39720" w:rsidR="009D37F7" w:rsidRPr="009D37F7" w:rsidRDefault="009D37F7" w:rsidP="009D37F7">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9D37F7">
        <w:rPr>
          <w:rFonts w:cs="Arial"/>
          <w:b/>
          <w:bCs/>
          <w:sz w:val="22"/>
          <w:szCs w:val="22"/>
          <w:lang w:val="es-MX"/>
        </w:rPr>
        <w:t>Glosario</w:t>
      </w:r>
    </w:p>
    <w:p w14:paraId="0422D09E"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lang w:val="es-MX"/>
        </w:rPr>
        <w:t>Direcciones MAC</w:t>
      </w:r>
      <w:r w:rsidRPr="0086297F">
        <w:rPr>
          <w:rFonts w:cs="Arial"/>
          <w:b/>
          <w:bCs/>
          <w:lang w:val="es-MX"/>
        </w:rPr>
        <w:t>:</w:t>
      </w:r>
      <w:r w:rsidRPr="0086297F">
        <w:rPr>
          <w:rFonts w:cs="Arial"/>
          <w:lang w:val="es-MX"/>
        </w:rPr>
        <w:t xml:space="preserve"> Una dirección MAC es el identificador único asignado por el fabricante a una pieza de hardware de red (como una tarjeta inalámbrica o una tarjeta Ethernet). MAC significa Media Access Control, y cada código tiene la intención de ser único para un dispositivo en particular.</w:t>
      </w:r>
    </w:p>
    <w:p w14:paraId="46A9F4C5"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lang w:val="es-MX"/>
        </w:rPr>
        <w:t>Sistema de encriptación</w:t>
      </w:r>
      <w:r w:rsidRPr="0086297F">
        <w:rPr>
          <w:rFonts w:cs="Arial"/>
          <w:b/>
          <w:bCs/>
          <w:lang w:val="es-MX"/>
        </w:rPr>
        <w:t>:</w:t>
      </w:r>
      <w:r w:rsidRPr="0086297F">
        <w:rPr>
          <w:rFonts w:cs="Arial"/>
          <w:lang w:val="es-MX"/>
        </w:rPr>
        <w:t xml:space="preserve"> La encriptación es un sistema de seguridad para archivos bastante antiguo, que actualmente es muy utilizado en cualquier rama de la Informática, sobre todo con el auge de Internet.</w:t>
      </w:r>
    </w:p>
    <w:p w14:paraId="01200C53"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lang w:val="es-MX"/>
        </w:rPr>
        <w:t>AF</w:t>
      </w:r>
      <w:r w:rsidRPr="0086297F">
        <w:rPr>
          <w:rFonts w:cs="Arial"/>
          <w:b/>
          <w:bCs/>
          <w:lang w:val="es-MX"/>
        </w:rPr>
        <w:t>:</w:t>
      </w:r>
      <w:r w:rsidRPr="0086297F">
        <w:rPr>
          <w:rFonts w:cs="Arial"/>
          <w:lang w:val="es-MX"/>
        </w:rPr>
        <w:t xml:space="preserve"> Activo Fijo.</w:t>
      </w:r>
    </w:p>
    <w:p w14:paraId="45858F10" w14:textId="77777777" w:rsidR="0086297F" w:rsidRPr="0086297F" w:rsidRDefault="0086297F" w:rsidP="0086297F">
      <w:pPr>
        <w:pStyle w:val="Encabezado"/>
        <w:numPr>
          <w:ilvl w:val="1"/>
          <w:numId w:val="2"/>
        </w:numPr>
        <w:spacing w:beforeLines="50" w:before="120" w:afterLines="50" w:after="120"/>
        <w:jc w:val="both"/>
        <w:rPr>
          <w:rFonts w:cs="Arial"/>
          <w:lang w:val="es-MX"/>
        </w:rPr>
      </w:pPr>
      <w:r w:rsidRPr="0086297F">
        <w:rPr>
          <w:rFonts w:cs="Arial"/>
          <w:b/>
          <w:bCs/>
          <w:u w:val="single"/>
        </w:rPr>
        <w:t>Tapes LTO</w:t>
      </w:r>
      <w:r w:rsidRPr="0086297F">
        <w:rPr>
          <w:rFonts w:cs="Arial"/>
          <w:b/>
          <w:bCs/>
        </w:rPr>
        <w:t>:</w:t>
      </w:r>
      <w:r w:rsidRPr="0086297F">
        <w:rPr>
          <w:rFonts w:cs="Arial"/>
        </w:rPr>
        <w:t xml:space="preserve"> (Linear Tape-Open o LTO). </w:t>
      </w:r>
      <w:r w:rsidRPr="0086297F">
        <w:rPr>
          <w:rFonts w:cs="Arial"/>
          <w:lang w:val="es-MX"/>
        </w:rPr>
        <w:t>Tecnología de almacenamiento de datos en cinta magnética desarrollado como una alternativa abierta a las DLT.</w:t>
      </w:r>
    </w:p>
    <w:p w14:paraId="42693C93" w14:textId="29D53939" w:rsidR="009D37F7" w:rsidRDefault="009D37F7" w:rsidP="0086297F">
      <w:pPr>
        <w:pStyle w:val="Encabezado"/>
        <w:tabs>
          <w:tab w:val="clear" w:pos="4320"/>
          <w:tab w:val="clear" w:pos="8640"/>
        </w:tabs>
        <w:spacing w:beforeLines="50" w:before="120" w:afterLines="50" w:after="120"/>
        <w:jc w:val="both"/>
        <w:rPr>
          <w:rFonts w:cs="Arial"/>
          <w:lang w:val="es-MX"/>
        </w:rPr>
      </w:pPr>
    </w:p>
    <w:p w14:paraId="1F865D91" w14:textId="738DDBCE" w:rsidR="0086297F" w:rsidRPr="0086297F" w:rsidRDefault="0086297F" w:rsidP="0086297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86297F">
        <w:rPr>
          <w:rFonts w:cs="Arial"/>
          <w:b/>
          <w:bCs/>
          <w:sz w:val="22"/>
          <w:szCs w:val="22"/>
          <w:lang w:val="es-MX"/>
        </w:rPr>
        <w:t>Anexos</w:t>
      </w:r>
    </w:p>
    <w:p w14:paraId="55455D1B" w14:textId="762A6F2B" w:rsidR="0086297F" w:rsidRPr="00E8237D" w:rsidRDefault="0086297F" w:rsidP="0086297F">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sectPr w:rsidR="0086297F"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39B7" w14:textId="77777777" w:rsidR="00C57D19" w:rsidRDefault="00C57D19">
      <w:r>
        <w:separator/>
      </w:r>
    </w:p>
  </w:endnote>
  <w:endnote w:type="continuationSeparator" w:id="0">
    <w:p w14:paraId="73038388" w14:textId="77777777" w:rsidR="00C57D19" w:rsidRDefault="00C57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1608313C" w:rsidR="001E29EA" w:rsidRPr="001E32A6" w:rsidRDefault="00EE4942"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86459B" w:rsidRPr="001E32A6">
      <w:rPr>
        <w:sz w:val="14"/>
        <w:u w:val="single"/>
        <w:lang w:val="es-MX"/>
      </w:rPr>
      <w:t>.</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D2DFA76"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E4942">
            <w:rPr>
              <w:rStyle w:val="Nmerodepgina"/>
              <w:rFonts w:cs="Arial"/>
              <w:noProof/>
              <w:sz w:val="16"/>
            </w:rPr>
            <w:t>2</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E4942">
            <w:rPr>
              <w:rStyle w:val="Nmerodepgina"/>
              <w:rFonts w:cs="Arial"/>
              <w:noProof/>
              <w:sz w:val="16"/>
            </w:rPr>
            <w:t>4</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EE4942" w14:paraId="075D73BF" w14:textId="77777777" w:rsidTr="001E32A6">
      <w:tc>
        <w:tcPr>
          <w:tcW w:w="10926" w:type="dxa"/>
        </w:tcPr>
        <w:p w14:paraId="6E2B1F52" w14:textId="52637DBD" w:rsidR="001E29EA" w:rsidRPr="001E32A6" w:rsidRDefault="00EE4942" w:rsidP="0058488B">
          <w:pPr>
            <w:pStyle w:val="Piedepgina"/>
            <w:jc w:val="center"/>
            <w:rPr>
              <w:sz w:val="16"/>
              <w:u w:val="single"/>
              <w:lang w:val="es-MX"/>
            </w:rPr>
          </w:pPr>
          <w:r w:rsidRPr="001E32A6">
            <w:rPr>
              <w:sz w:val="14"/>
              <w:u w:val="single"/>
              <w:lang w:val="es-MX"/>
            </w:rPr>
            <w:t>Documento de clasificación Reservada. Este documento contiene información exclusiva la cual es propiedad</w:t>
          </w:r>
          <w:r>
            <w:rPr>
              <w:sz w:val="14"/>
              <w:u w:val="single"/>
              <w:lang w:val="es-MX"/>
            </w:rPr>
            <w:t xml:space="preserve"> de</w:t>
          </w:r>
          <w:r w:rsidRPr="001E32A6">
            <w:rPr>
              <w:sz w:val="14"/>
              <w:u w:val="single"/>
              <w:lang w:val="es-MX"/>
            </w:rPr>
            <w:t xml:space="preserve"> </w:t>
          </w:r>
          <w:r>
            <w:rPr>
              <w:sz w:val="14"/>
              <w:u w:val="single"/>
              <w:lang w:val="es-MX"/>
            </w:rPr>
            <w:t>Sendero Fuel</w:t>
          </w:r>
          <w:r w:rsidRPr="001E32A6">
            <w:rPr>
              <w:sz w:val="14"/>
              <w:u w:val="single"/>
              <w:lang w:val="es-MX"/>
            </w:rPr>
            <w:t xml:space="preserve"> S.A. de C.V. Este documento y su contenido no pueden ser duplicados o mostrados a cualquier otra compañía sin la autorización escrita de </w:t>
          </w:r>
          <w:r>
            <w:rPr>
              <w:sz w:val="14"/>
              <w:u w:val="single"/>
              <w:lang w:val="es-MX"/>
            </w:rPr>
            <w:t>Sendero Fuel S.A.</w:t>
          </w:r>
          <w:r w:rsidRPr="001E32A6">
            <w:rPr>
              <w:sz w:val="14"/>
              <w:u w:val="single"/>
              <w:lang w:val="es-MX"/>
            </w:rPr>
            <w:t xml:space="preserve"> de C.V</w:t>
          </w:r>
          <w:r w:rsidR="0058488B" w:rsidRPr="001E32A6">
            <w:rPr>
              <w:sz w:val="14"/>
              <w:u w:val="single"/>
              <w:lang w:val="es-MX"/>
            </w:rPr>
            <w:t>.</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06BE74A9"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EE4942">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EE4942">
            <w:rPr>
              <w:rStyle w:val="Nmerodepgina"/>
              <w:rFonts w:cs="Arial"/>
              <w:noProof/>
              <w:sz w:val="16"/>
            </w:rPr>
            <w:t>4</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AE74E6" w14:textId="77777777" w:rsidR="00C57D19" w:rsidRDefault="00C57D19">
      <w:r>
        <w:separator/>
      </w:r>
    </w:p>
  </w:footnote>
  <w:footnote w:type="continuationSeparator" w:id="0">
    <w:p w14:paraId="1BC6E03B" w14:textId="77777777" w:rsidR="00C57D19" w:rsidRDefault="00C57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5C1F9F2D" w:rsidR="00B772EE" w:rsidRDefault="00B772EE">
    <w:pPr>
      <w:pStyle w:val="Encabezado"/>
    </w:pP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EE4942" w14:paraId="6EACD3D2" w14:textId="77777777" w:rsidTr="0086459B">
      <w:trPr>
        <w:cantSplit/>
        <w:trHeight w:val="708"/>
      </w:trPr>
      <w:tc>
        <w:tcPr>
          <w:tcW w:w="10671" w:type="dxa"/>
          <w:tcBorders>
            <w:bottom w:val="single" w:sz="12" w:space="0" w:color="5B9BD5" w:themeColor="accent1"/>
          </w:tcBorders>
          <w:vAlign w:val="center"/>
        </w:tcPr>
        <w:p w14:paraId="2A05C7AF" w14:textId="77777777" w:rsidR="00EE4942" w:rsidRPr="006B28E8" w:rsidRDefault="00EE4942" w:rsidP="00EE4942">
          <w:pPr>
            <w:jc w:val="center"/>
            <w:rPr>
              <w:b/>
              <w:lang w:val="es-MX"/>
            </w:rPr>
          </w:pPr>
          <w:r w:rsidRPr="006B28E8">
            <w:rPr>
              <w:b/>
              <w:lang w:val="es-MX"/>
            </w:rPr>
            <w:t>Sendero Fuel,</w:t>
          </w:r>
        </w:p>
        <w:p w14:paraId="42E6A2A9" w14:textId="3ACA489C" w:rsidR="0086459B" w:rsidRPr="0086459B" w:rsidRDefault="00EE4942" w:rsidP="00EE4942">
          <w:pPr>
            <w:pStyle w:val="Encabezado"/>
            <w:jc w:val="center"/>
            <w:rPr>
              <w:b/>
              <w:lang w:val="es-MX"/>
            </w:rPr>
          </w:pPr>
          <w:r w:rsidRPr="006B28E8">
            <w:rPr>
              <w:b/>
              <w:lang w:val="es-MX"/>
            </w:rPr>
            <w:t>S.A. de C.V.</w:t>
          </w:r>
        </w:p>
      </w:tc>
    </w:tr>
  </w:tbl>
  <w:p w14:paraId="4F456931" w14:textId="442A6D78" w:rsidR="00595320" w:rsidRPr="008360E0" w:rsidRDefault="00595320" w:rsidP="008360E0">
    <w:pPr>
      <w:pStyle w:val="Encabezado"/>
      <w:rPr>
        <w:lang w:val="es-MX"/>
      </w:rPr>
    </w:pP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4ABD52D5" w:rsidR="00461A35" w:rsidRPr="00461A35" w:rsidRDefault="00461A35">
    <w:pPr>
      <w:rPr>
        <w:lang w:val="es-MX"/>
      </w:rPr>
    </w:pP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EE4942"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75B750AF" w:rsidR="00F855EF" w:rsidRPr="00CA7845" w:rsidRDefault="00EE4942" w:rsidP="00CA7845">
          <w:pPr>
            <w:overflowPunct/>
            <w:autoSpaceDE/>
            <w:autoSpaceDN/>
            <w:adjustRightInd/>
            <w:jc w:val="center"/>
            <w:textAlignment w:val="auto"/>
            <w:rPr>
              <w:color w:val="000000" w:themeColor="text1"/>
              <w:lang w:val="es-MX"/>
            </w:rPr>
          </w:pPr>
          <w:r>
            <w:rPr>
              <w:color w:val="000000" w:themeColor="text1"/>
              <w:lang w:val="es-MX"/>
            </w:rPr>
            <w:t>SF</w:t>
          </w:r>
          <w:r w:rsidR="008069A3" w:rsidRPr="008069A3">
            <w:rPr>
              <w:color w:val="000000" w:themeColor="text1"/>
              <w:lang w:val="es-MX"/>
            </w:rPr>
            <w:t>-POL-15</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472FAFCE" w:rsidR="00F855EF" w:rsidRPr="00CA7845" w:rsidRDefault="008069A3"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5FF1865D" w:rsidR="00F855EF" w:rsidRPr="00CA7845" w:rsidRDefault="00EE4942" w:rsidP="00FC17C9">
          <w:pPr>
            <w:overflowPunct/>
            <w:autoSpaceDE/>
            <w:autoSpaceDN/>
            <w:adjustRightInd/>
            <w:jc w:val="center"/>
            <w:textAlignment w:val="auto"/>
            <w:rPr>
              <w:color w:val="000000" w:themeColor="text1"/>
              <w:lang w:val="es-MX"/>
            </w:rPr>
          </w:pPr>
          <w:r>
            <w:rPr>
              <w:color w:val="000000" w:themeColor="text1"/>
              <w:lang w:val="es-MX"/>
            </w:rPr>
            <w:t>13-01-2026</w:t>
          </w:r>
        </w:p>
      </w:tc>
      <w:tc>
        <w:tcPr>
          <w:tcW w:w="2157" w:type="dxa"/>
          <w:vMerge w:val="restart"/>
          <w:tcBorders>
            <w:left w:val="single" w:sz="4" w:space="0" w:color="4472C4" w:themeColor="accent5"/>
          </w:tcBorders>
          <w:shd w:val="clear" w:color="auto" w:fill="FFFFFF" w:themeFill="background1"/>
          <w:vAlign w:val="center"/>
        </w:tcPr>
        <w:p w14:paraId="3834E5C6" w14:textId="77777777" w:rsidR="00EE4942" w:rsidRPr="00CA7845" w:rsidRDefault="00EE4942" w:rsidP="00EE4942">
          <w:pPr>
            <w:jc w:val="center"/>
            <w:rPr>
              <w:b/>
              <w:color w:val="000000" w:themeColor="text1"/>
              <w:sz w:val="24"/>
              <w:lang w:val="es-MX"/>
            </w:rPr>
          </w:pPr>
          <w:r>
            <w:rPr>
              <w:b/>
              <w:color w:val="000000" w:themeColor="text1"/>
              <w:sz w:val="24"/>
              <w:lang w:val="es-MX"/>
            </w:rPr>
            <w:t>Sendero Fuel</w:t>
          </w:r>
          <w:r w:rsidRPr="00CA7845">
            <w:rPr>
              <w:b/>
              <w:color w:val="000000" w:themeColor="text1"/>
              <w:sz w:val="24"/>
              <w:lang w:val="es-MX"/>
            </w:rPr>
            <w:t>,</w:t>
          </w:r>
        </w:p>
        <w:p w14:paraId="5C29729D" w14:textId="605FA1CA" w:rsidR="00F855EF" w:rsidRPr="00CA7845" w:rsidRDefault="00EE4942" w:rsidP="00EE4942">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CA7845"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37273BE3" w:rsidR="00F855EF" w:rsidRPr="00CA7845" w:rsidRDefault="008069A3" w:rsidP="00872C12">
          <w:pPr>
            <w:jc w:val="center"/>
            <w:rPr>
              <w:color w:val="000000" w:themeColor="text1"/>
              <w:lang w:val="es-MX"/>
            </w:rPr>
          </w:pPr>
          <w:r w:rsidRPr="008069A3">
            <w:rPr>
              <w:color w:val="000000" w:themeColor="text1"/>
              <w:lang w:val="es-MX"/>
            </w:rPr>
            <w:t>Gestión de activos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7996579F" w:rsidR="00461A35" w:rsidRPr="00CA7845" w:rsidRDefault="00461A35" w:rsidP="00F855EF">
    <w:pPr>
      <w:rPr>
        <w:color w:val="000000" w:themeColor="text1"/>
        <w:lang w:val="es-MX"/>
      </w:rPr>
    </w:pPr>
    <w:r w:rsidRPr="00CA7845">
      <w:rPr>
        <w:b/>
        <w:color w:val="000000" w:themeColor="text1"/>
        <w:lang w:val="es-MX"/>
      </w:rPr>
      <w:t xml:space="preserve">Requisito aplicable: </w:t>
    </w:r>
    <w:r w:rsidR="008069A3">
      <w:rPr>
        <w:b/>
        <w:color w:val="000000" w:themeColor="text1"/>
        <w:lang w:val="es-MX"/>
      </w:rPr>
      <w:t>37</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05F2520C"/>
    <w:multiLevelType w:val="hybridMultilevel"/>
    <w:tmpl w:val="A2C294E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3" w15:restartNumberingAfterBreak="0">
    <w:nsid w:val="1BA258C9"/>
    <w:multiLevelType w:val="hybridMultilevel"/>
    <w:tmpl w:val="BBEABA86"/>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4"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32C6F"/>
    <w:multiLevelType w:val="hybridMultilevel"/>
    <w:tmpl w:val="CC92718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6"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11"/>
  </w:num>
  <w:num w:numId="3">
    <w:abstractNumId w:val="4"/>
  </w:num>
  <w:num w:numId="4">
    <w:abstractNumId w:val="6"/>
  </w:num>
  <w:num w:numId="5">
    <w:abstractNumId w:val="10"/>
  </w:num>
  <w:num w:numId="6">
    <w:abstractNumId w:val="0"/>
  </w:num>
  <w:num w:numId="7">
    <w:abstractNumId w:val="8"/>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7876"/>
    <w:rsid w:val="00044216"/>
    <w:rsid w:val="000477B2"/>
    <w:rsid w:val="00060C29"/>
    <w:rsid w:val="000625DD"/>
    <w:rsid w:val="000641CF"/>
    <w:rsid w:val="00065DCB"/>
    <w:rsid w:val="00072A66"/>
    <w:rsid w:val="00075E46"/>
    <w:rsid w:val="00077459"/>
    <w:rsid w:val="000847B0"/>
    <w:rsid w:val="00086E8B"/>
    <w:rsid w:val="00095DA5"/>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57FAE"/>
    <w:rsid w:val="00164324"/>
    <w:rsid w:val="0016754A"/>
    <w:rsid w:val="0018335F"/>
    <w:rsid w:val="001932C1"/>
    <w:rsid w:val="001A16B4"/>
    <w:rsid w:val="001B4601"/>
    <w:rsid w:val="001B7B90"/>
    <w:rsid w:val="001C0BC5"/>
    <w:rsid w:val="001C140D"/>
    <w:rsid w:val="001C4E00"/>
    <w:rsid w:val="001D0FF8"/>
    <w:rsid w:val="001E1F80"/>
    <w:rsid w:val="001E2389"/>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46F98"/>
    <w:rsid w:val="002514C1"/>
    <w:rsid w:val="0025730C"/>
    <w:rsid w:val="00257B47"/>
    <w:rsid w:val="002638EA"/>
    <w:rsid w:val="0026718F"/>
    <w:rsid w:val="00270562"/>
    <w:rsid w:val="002728CA"/>
    <w:rsid w:val="00276D35"/>
    <w:rsid w:val="00282023"/>
    <w:rsid w:val="002A3ADB"/>
    <w:rsid w:val="002A3B57"/>
    <w:rsid w:val="002A5D3B"/>
    <w:rsid w:val="002B044E"/>
    <w:rsid w:val="002B14A7"/>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1940"/>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4460F"/>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30F17"/>
    <w:rsid w:val="00544A97"/>
    <w:rsid w:val="00553753"/>
    <w:rsid w:val="0057148E"/>
    <w:rsid w:val="00575495"/>
    <w:rsid w:val="00576301"/>
    <w:rsid w:val="0058488B"/>
    <w:rsid w:val="00587DD0"/>
    <w:rsid w:val="00595320"/>
    <w:rsid w:val="005A1342"/>
    <w:rsid w:val="005A2C58"/>
    <w:rsid w:val="005C49DE"/>
    <w:rsid w:val="005C4E70"/>
    <w:rsid w:val="005C5118"/>
    <w:rsid w:val="005E2E22"/>
    <w:rsid w:val="005F4CB3"/>
    <w:rsid w:val="005F5C37"/>
    <w:rsid w:val="006010A7"/>
    <w:rsid w:val="00603733"/>
    <w:rsid w:val="006056EC"/>
    <w:rsid w:val="00607CA3"/>
    <w:rsid w:val="00613937"/>
    <w:rsid w:val="00614A03"/>
    <w:rsid w:val="00615329"/>
    <w:rsid w:val="00621C09"/>
    <w:rsid w:val="00630E32"/>
    <w:rsid w:val="00634225"/>
    <w:rsid w:val="00636E43"/>
    <w:rsid w:val="00637C9D"/>
    <w:rsid w:val="00651E6D"/>
    <w:rsid w:val="0065360F"/>
    <w:rsid w:val="006619C4"/>
    <w:rsid w:val="0066466C"/>
    <w:rsid w:val="0067415E"/>
    <w:rsid w:val="00674A11"/>
    <w:rsid w:val="00682ED1"/>
    <w:rsid w:val="0068611C"/>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15D5B"/>
    <w:rsid w:val="00720799"/>
    <w:rsid w:val="00726EA1"/>
    <w:rsid w:val="00730B1E"/>
    <w:rsid w:val="00741187"/>
    <w:rsid w:val="0074358A"/>
    <w:rsid w:val="007441D5"/>
    <w:rsid w:val="00751FF3"/>
    <w:rsid w:val="00765916"/>
    <w:rsid w:val="00766885"/>
    <w:rsid w:val="00781113"/>
    <w:rsid w:val="007854C1"/>
    <w:rsid w:val="00790D9D"/>
    <w:rsid w:val="00791E18"/>
    <w:rsid w:val="00794B98"/>
    <w:rsid w:val="007A4DCF"/>
    <w:rsid w:val="007A6F3E"/>
    <w:rsid w:val="007C2048"/>
    <w:rsid w:val="007C47B5"/>
    <w:rsid w:val="007E21E6"/>
    <w:rsid w:val="007E2E2D"/>
    <w:rsid w:val="00800330"/>
    <w:rsid w:val="00801003"/>
    <w:rsid w:val="008069A3"/>
    <w:rsid w:val="00811375"/>
    <w:rsid w:val="00812C56"/>
    <w:rsid w:val="00813968"/>
    <w:rsid w:val="008342DA"/>
    <w:rsid w:val="008360E0"/>
    <w:rsid w:val="00837C85"/>
    <w:rsid w:val="0084112B"/>
    <w:rsid w:val="0086297F"/>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917D38"/>
    <w:rsid w:val="00921C73"/>
    <w:rsid w:val="00936B02"/>
    <w:rsid w:val="009376F0"/>
    <w:rsid w:val="00944F55"/>
    <w:rsid w:val="00964163"/>
    <w:rsid w:val="00967599"/>
    <w:rsid w:val="00967BC0"/>
    <w:rsid w:val="0097281E"/>
    <w:rsid w:val="009774FF"/>
    <w:rsid w:val="009840E9"/>
    <w:rsid w:val="009A0276"/>
    <w:rsid w:val="009A14E3"/>
    <w:rsid w:val="009B6690"/>
    <w:rsid w:val="009C104C"/>
    <w:rsid w:val="009C107D"/>
    <w:rsid w:val="009D1B55"/>
    <w:rsid w:val="009D37F7"/>
    <w:rsid w:val="009D7D7E"/>
    <w:rsid w:val="009F5738"/>
    <w:rsid w:val="00A04073"/>
    <w:rsid w:val="00A106F0"/>
    <w:rsid w:val="00A21F94"/>
    <w:rsid w:val="00A26CA4"/>
    <w:rsid w:val="00A27EA1"/>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BF46C5"/>
    <w:rsid w:val="00C02C40"/>
    <w:rsid w:val="00C108C6"/>
    <w:rsid w:val="00C15ACA"/>
    <w:rsid w:val="00C20915"/>
    <w:rsid w:val="00C27F9A"/>
    <w:rsid w:val="00C3554C"/>
    <w:rsid w:val="00C57311"/>
    <w:rsid w:val="00C57D19"/>
    <w:rsid w:val="00C7394E"/>
    <w:rsid w:val="00C74AFA"/>
    <w:rsid w:val="00C77FED"/>
    <w:rsid w:val="00C92727"/>
    <w:rsid w:val="00CA784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20613"/>
    <w:rsid w:val="00D21602"/>
    <w:rsid w:val="00D27AF7"/>
    <w:rsid w:val="00D43BEE"/>
    <w:rsid w:val="00D50DC7"/>
    <w:rsid w:val="00D620DA"/>
    <w:rsid w:val="00D64941"/>
    <w:rsid w:val="00D64E17"/>
    <w:rsid w:val="00D90555"/>
    <w:rsid w:val="00DA3C6E"/>
    <w:rsid w:val="00DB7BED"/>
    <w:rsid w:val="00DD3404"/>
    <w:rsid w:val="00DD4CBF"/>
    <w:rsid w:val="00DD649C"/>
    <w:rsid w:val="00DE0A24"/>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4942"/>
    <w:rsid w:val="00EE5FD9"/>
    <w:rsid w:val="00EF335C"/>
    <w:rsid w:val="00EF4C9C"/>
    <w:rsid w:val="00EF5493"/>
    <w:rsid w:val="00F1397F"/>
    <w:rsid w:val="00F247E5"/>
    <w:rsid w:val="00F25CE6"/>
    <w:rsid w:val="00F2693F"/>
    <w:rsid w:val="00F34F98"/>
    <w:rsid w:val="00F3541B"/>
    <w:rsid w:val="00F417D4"/>
    <w:rsid w:val="00F4200F"/>
    <w:rsid w:val="00F610C0"/>
    <w:rsid w:val="00F61F05"/>
    <w:rsid w:val="00F64DC3"/>
    <w:rsid w:val="00F652F4"/>
    <w:rsid w:val="00F7134D"/>
    <w:rsid w:val="00F855EF"/>
    <w:rsid w:val="00F8751B"/>
    <w:rsid w:val="00F92BF2"/>
    <w:rsid w:val="00FA2799"/>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7146-0450-46D4-948D-789348629F77}">
  <ds:schemaRef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5c526cf6-6d1d-4673-a2c2-fd262c1babbc"/>
    <ds:schemaRef ds:uri="http://schemas.microsoft.com/office/infopath/2007/PartnerControls"/>
    <ds:schemaRef ds:uri="d1c11e9e-5d52-465f-89ed-23c3fd784888"/>
    <ds:schemaRef ds:uri="http://purl.org/dc/dcmitype/"/>
    <ds:schemaRef ds:uri="http://purl.org/dc/elements/1.1/"/>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5410</Characters>
  <Application>Microsoft Office Word</Application>
  <DocSecurity>0</DocSecurity>
  <PresentationFormat/>
  <Lines>45</Lines>
  <Paragraphs>12</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2</cp:revision>
  <cp:lastPrinted>2025-09-11T19:01:00Z</cp:lastPrinted>
  <dcterms:created xsi:type="dcterms:W3CDTF">2026-03-11T22:30:00Z</dcterms:created>
  <dcterms:modified xsi:type="dcterms:W3CDTF">2026-03-11T22:30:00Z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